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58" w:rsidRDefault="00001158" w:rsidP="0000115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-291465</wp:posOffset>
            </wp:positionV>
            <wp:extent cx="1530350" cy="144145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158" w:rsidRPr="00E10F4F" w:rsidRDefault="00001158" w:rsidP="00001158"/>
    <w:p w:rsidR="00001158" w:rsidRPr="00E10F4F" w:rsidRDefault="00001158" w:rsidP="00001158"/>
    <w:tbl>
      <w:tblPr>
        <w:tblW w:w="10015" w:type="dxa"/>
        <w:tblLook w:val="04A0" w:firstRow="1" w:lastRow="0" w:firstColumn="1" w:lastColumn="0" w:noHBand="0" w:noVBand="1"/>
      </w:tblPr>
      <w:tblGrid>
        <w:gridCol w:w="222"/>
        <w:gridCol w:w="10247"/>
      </w:tblGrid>
      <w:tr w:rsidR="00001158" w:rsidRPr="00F00FD2" w:rsidTr="00E86FDB">
        <w:tc>
          <w:tcPr>
            <w:tcW w:w="4928" w:type="dxa"/>
          </w:tcPr>
          <w:p w:rsidR="00001158" w:rsidRPr="000F6849" w:rsidRDefault="00001158" w:rsidP="00E86FDB">
            <w:pPr>
              <w:rPr>
                <w:b/>
              </w:rPr>
            </w:pPr>
          </w:p>
        </w:tc>
        <w:tc>
          <w:tcPr>
            <w:tcW w:w="5087" w:type="dxa"/>
          </w:tcPr>
          <w:p w:rsidR="00001158" w:rsidRDefault="00001158" w:rsidP="00E86FD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4C007E">
              <w:rPr>
                <w:b/>
              </w:rPr>
              <w:t xml:space="preserve"> </w:t>
            </w:r>
          </w:p>
          <w:p w:rsidR="00001158" w:rsidRDefault="00001158" w:rsidP="00E86FDB">
            <w:pPr>
              <w:rPr>
                <w:b/>
              </w:rPr>
            </w:pPr>
          </w:p>
          <w:p w:rsidR="00001158" w:rsidRDefault="00001158" w:rsidP="00E86FDB">
            <w:pPr>
              <w:rPr>
                <w:b/>
              </w:rPr>
            </w:pPr>
          </w:p>
          <w:p w:rsidR="00001158" w:rsidRDefault="00001158" w:rsidP="00E86FDB">
            <w:pPr>
              <w:rPr>
                <w:b/>
                <w:lang w:val="en-US"/>
              </w:rPr>
            </w:pPr>
          </w:p>
          <w:p w:rsidR="00001158" w:rsidRDefault="00001158" w:rsidP="00E86FDB">
            <w:pPr>
              <w:rPr>
                <w:b/>
                <w:lang w:val="en-US"/>
              </w:rPr>
            </w:pPr>
          </w:p>
          <w:p w:rsidR="00001158" w:rsidRDefault="00001158" w:rsidP="00E86FDB">
            <w:pPr>
              <w:rPr>
                <w:b/>
                <w:lang w:val="en-US"/>
              </w:rPr>
            </w:pPr>
          </w:p>
          <w:p w:rsidR="00001158" w:rsidRPr="00001158" w:rsidRDefault="00001158" w:rsidP="00E86FDB">
            <w:pPr>
              <w:rPr>
                <w:b/>
                <w:lang w:val="en-US"/>
              </w:rPr>
            </w:pPr>
          </w:p>
          <w:tbl>
            <w:tblPr>
              <w:tblW w:w="9923" w:type="dxa"/>
              <w:tblInd w:w="108" w:type="dxa"/>
              <w:tblLook w:val="0000" w:firstRow="0" w:lastRow="0" w:firstColumn="0" w:lastColumn="0" w:noHBand="0" w:noVBand="0"/>
            </w:tblPr>
            <w:tblGrid>
              <w:gridCol w:w="4962"/>
              <w:gridCol w:w="4961"/>
            </w:tblGrid>
            <w:tr w:rsidR="00001158" w:rsidRPr="00DA20BE" w:rsidTr="00E86FDB">
              <w:tc>
                <w:tcPr>
                  <w:tcW w:w="4962" w:type="dxa"/>
                </w:tcPr>
                <w:p w:rsidR="00FA5B0A" w:rsidRPr="001C1A5B" w:rsidRDefault="00001158" w:rsidP="00FA5B0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</w:p>
                <w:p w:rsidR="00001158" w:rsidRPr="001C1A5B" w:rsidRDefault="00001158" w:rsidP="00E86FDB">
                  <w:pPr>
                    <w:ind w:left="318" w:right="176"/>
                    <w:rPr>
                      <w:b/>
                    </w:rPr>
                  </w:pPr>
                </w:p>
              </w:tc>
              <w:tc>
                <w:tcPr>
                  <w:tcW w:w="4961" w:type="dxa"/>
                </w:tcPr>
                <w:p w:rsidR="00001158" w:rsidRPr="00F00FD2" w:rsidRDefault="00001158" w:rsidP="00E86FD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«</w:t>
                  </w:r>
                  <w:r w:rsidRPr="00F00FD2">
                    <w:rPr>
                      <w:b/>
                    </w:rPr>
                    <w:t>УТВЕРЖДАЮ</w:t>
                  </w:r>
                  <w:r>
                    <w:rPr>
                      <w:b/>
                    </w:rPr>
                    <w:t>»</w:t>
                  </w:r>
                  <w:r w:rsidRPr="00F00FD2">
                    <w:rPr>
                      <w:b/>
                    </w:rPr>
                    <w:t>:</w:t>
                  </w:r>
                </w:p>
                <w:p w:rsidR="00001158" w:rsidRDefault="00001158" w:rsidP="00E86FDB">
                  <w:pPr>
                    <w:ind w:hanging="23"/>
                    <w:rPr>
                      <w:b/>
                    </w:rPr>
                  </w:pPr>
                  <w:r>
                    <w:t xml:space="preserve">       </w:t>
                  </w:r>
                  <w:r w:rsidR="00FA5B0A">
                    <w:rPr>
                      <w:b/>
                    </w:rPr>
                    <w:t>Зам.</w:t>
                  </w:r>
                  <w:r w:rsidRPr="000F6849">
                    <w:rPr>
                      <w:b/>
                    </w:rPr>
                    <w:t xml:space="preserve"> генерального </w:t>
                  </w:r>
                  <w:r>
                    <w:rPr>
                      <w:b/>
                    </w:rPr>
                    <w:t>д</w:t>
                  </w:r>
                  <w:r w:rsidRPr="000F6849">
                    <w:rPr>
                      <w:b/>
                    </w:rPr>
                    <w:t>иректора</w:t>
                  </w:r>
                </w:p>
                <w:p w:rsidR="00FA5B0A" w:rsidRPr="00A1442D" w:rsidRDefault="00FA5B0A" w:rsidP="00FA5B0A">
                  <w:pPr>
                    <w:ind w:left="412" w:hanging="23"/>
                    <w:rPr>
                      <w:b/>
                    </w:rPr>
                  </w:pPr>
                  <w:r>
                    <w:rPr>
                      <w:b/>
                    </w:rPr>
                    <w:t>по производству</w:t>
                  </w:r>
                </w:p>
                <w:p w:rsidR="00001158" w:rsidRPr="000F6849" w:rsidRDefault="00001158" w:rsidP="00E86FDB">
                  <w:pPr>
                    <w:rPr>
                      <w:b/>
                    </w:rPr>
                  </w:pPr>
                  <w:r w:rsidRPr="00E10F4F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АО «СП «Акбастау»</w:t>
                  </w:r>
                </w:p>
                <w:p w:rsidR="00001158" w:rsidRPr="000F6849" w:rsidRDefault="00001158" w:rsidP="00E86FD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0F6849">
                    <w:rPr>
                      <w:b/>
                    </w:rPr>
                    <w:t>____________</w:t>
                  </w:r>
                  <w:r w:rsidR="00FA5B0A">
                    <w:rPr>
                      <w:b/>
                    </w:rPr>
                    <w:t>Нуралиев Г.О</w:t>
                  </w:r>
                  <w:r w:rsidRPr="000F6849">
                    <w:rPr>
                      <w:b/>
                    </w:rPr>
                    <w:t>.</w:t>
                  </w:r>
                </w:p>
                <w:p w:rsidR="00001158" w:rsidRPr="001C1A5B" w:rsidRDefault="00001158" w:rsidP="00FA5B0A">
                  <w:pPr>
                    <w:ind w:left="317" w:right="176"/>
                    <w:rPr>
                      <w:b/>
                    </w:rPr>
                  </w:pPr>
                  <w:r>
                    <w:rPr>
                      <w:b/>
                    </w:rPr>
                    <w:t xml:space="preserve"> «__</w:t>
                  </w:r>
                  <w:r w:rsidRPr="000F6849">
                    <w:rPr>
                      <w:b/>
                    </w:rPr>
                    <w:t>» ________ 201</w:t>
                  </w:r>
                  <w:r w:rsidR="00FA5B0A">
                    <w:rPr>
                      <w:b/>
                    </w:rPr>
                    <w:t>7</w:t>
                  </w:r>
                  <w:r w:rsidRPr="000F6849">
                    <w:rPr>
                      <w:b/>
                    </w:rPr>
                    <w:t xml:space="preserve"> г.</w:t>
                  </w:r>
                </w:p>
              </w:tc>
            </w:tr>
          </w:tbl>
          <w:p w:rsidR="00001158" w:rsidRPr="00F00FD2" w:rsidRDefault="00001158" w:rsidP="00E86FDB"/>
        </w:tc>
      </w:tr>
    </w:tbl>
    <w:p w:rsidR="00DC4174" w:rsidRPr="00BE7550" w:rsidRDefault="00DC4174" w:rsidP="00DC4174"/>
    <w:p w:rsidR="00DC4174" w:rsidRPr="00A34421" w:rsidRDefault="00DC4174" w:rsidP="00DC4174"/>
    <w:p w:rsidR="00DC4174" w:rsidRPr="00FA5B0A" w:rsidRDefault="00DC4174" w:rsidP="00DC4174"/>
    <w:p w:rsidR="00001158" w:rsidRPr="00FA5B0A" w:rsidRDefault="00001158" w:rsidP="00DC4174"/>
    <w:p w:rsidR="00001158" w:rsidRPr="00FA5B0A" w:rsidRDefault="00001158" w:rsidP="00DC4174"/>
    <w:p w:rsidR="00001158" w:rsidRPr="00FA5B0A" w:rsidRDefault="00001158" w:rsidP="00DC4174"/>
    <w:p w:rsidR="00DC4174" w:rsidRDefault="00DC4174" w:rsidP="00DC4174"/>
    <w:p w:rsidR="00DC4174" w:rsidRDefault="00DC4174" w:rsidP="00DC4174"/>
    <w:p w:rsidR="00DC4174" w:rsidRDefault="00DC4174" w:rsidP="00DC417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ТЕХНИЧЕСКОЕ </w:t>
      </w:r>
      <w:r w:rsidRPr="00730033">
        <w:rPr>
          <w:sz w:val="36"/>
          <w:szCs w:val="36"/>
        </w:rPr>
        <w:t xml:space="preserve">ЗАДАНИЕ </w:t>
      </w:r>
    </w:p>
    <w:p w:rsidR="00DC4174" w:rsidRPr="008B3B1C" w:rsidRDefault="00DC4174" w:rsidP="00DC4174">
      <w:pPr>
        <w:jc w:val="center"/>
        <w:rPr>
          <w:sz w:val="22"/>
          <w:szCs w:val="22"/>
          <w:u w:val="single"/>
        </w:rPr>
      </w:pPr>
      <w:r w:rsidRPr="008B3B1C">
        <w:rPr>
          <w:sz w:val="22"/>
          <w:szCs w:val="22"/>
        </w:rPr>
        <w:t>№___________ от _____________</w:t>
      </w:r>
    </w:p>
    <w:p w:rsidR="00DC4174" w:rsidRDefault="00DC4174" w:rsidP="00DC4174">
      <w:pPr>
        <w:jc w:val="center"/>
        <w:rPr>
          <w:b/>
          <w:sz w:val="28"/>
          <w:szCs w:val="28"/>
        </w:rPr>
      </w:pPr>
    </w:p>
    <w:p w:rsidR="00DC4174" w:rsidRPr="00DC4174" w:rsidRDefault="00DC4174" w:rsidP="00DC4174">
      <w:pPr>
        <w:jc w:val="center"/>
        <w:rPr>
          <w:b/>
          <w:sz w:val="28"/>
          <w:szCs w:val="28"/>
        </w:rPr>
      </w:pPr>
      <w:r w:rsidRPr="00DC4174">
        <w:rPr>
          <w:b/>
          <w:sz w:val="28"/>
          <w:szCs w:val="28"/>
        </w:rPr>
        <w:t>Работы инженерные по проектированию предприятий/технологических процессов и связанные с этим работы</w:t>
      </w:r>
    </w:p>
    <w:p w:rsidR="00B549EF" w:rsidRDefault="00DC4174" w:rsidP="00DC4174">
      <w:pPr>
        <w:jc w:val="center"/>
        <w:rPr>
          <w:i/>
        </w:rPr>
      </w:pPr>
      <w:proofErr w:type="gramStart"/>
      <w:r w:rsidRPr="00DC4174">
        <w:rPr>
          <w:i/>
        </w:rPr>
        <w:t xml:space="preserve">(Составление проекта </w:t>
      </w:r>
      <w:r w:rsidR="005572C7">
        <w:rPr>
          <w:i/>
        </w:rPr>
        <w:t>«</w:t>
      </w:r>
      <w:r w:rsidRPr="00DC4174">
        <w:rPr>
          <w:i/>
        </w:rPr>
        <w:t xml:space="preserve">План развития горных работ по участку </w:t>
      </w:r>
      <w:r w:rsidR="00B549EF">
        <w:rPr>
          <w:i/>
        </w:rPr>
        <w:t>№</w:t>
      </w:r>
      <w:r w:rsidR="00FE0F25" w:rsidRPr="00FE0F25">
        <w:rPr>
          <w:i/>
        </w:rPr>
        <w:t>4</w:t>
      </w:r>
      <w:r w:rsidRPr="00DC4174">
        <w:rPr>
          <w:i/>
        </w:rPr>
        <w:t xml:space="preserve"> </w:t>
      </w:r>
      <w:proofErr w:type="gramEnd"/>
    </w:p>
    <w:p w:rsidR="00DC4174" w:rsidRPr="00DC4174" w:rsidRDefault="00DC4174" w:rsidP="00DC4174">
      <w:pPr>
        <w:jc w:val="center"/>
        <w:rPr>
          <w:i/>
        </w:rPr>
      </w:pPr>
      <w:r w:rsidRPr="00DC4174">
        <w:rPr>
          <w:i/>
        </w:rPr>
        <w:t>месторождения Буденновское</w:t>
      </w:r>
      <w:r w:rsidR="005572C7">
        <w:rPr>
          <w:i/>
        </w:rPr>
        <w:t>»</w:t>
      </w:r>
      <w:r w:rsidR="00B549EF">
        <w:rPr>
          <w:i/>
        </w:rPr>
        <w:t>,</w:t>
      </w:r>
      <w:r w:rsidRPr="00DC4174">
        <w:rPr>
          <w:i/>
        </w:rPr>
        <w:t xml:space="preserve"> и его согласование в компетентных органах)</w:t>
      </w:r>
    </w:p>
    <w:p w:rsidR="00DC4174" w:rsidRDefault="00DC4174" w:rsidP="00DC4174"/>
    <w:p w:rsidR="00DC4174" w:rsidRDefault="00DC4174" w:rsidP="00DC4174"/>
    <w:p w:rsidR="00DC4174" w:rsidRDefault="00DC4174" w:rsidP="00DC4174">
      <w:pPr>
        <w:keepNext/>
        <w:keepLines/>
      </w:pPr>
    </w:p>
    <w:p w:rsidR="00DC4174" w:rsidRDefault="00DC4174" w:rsidP="00DC4174">
      <w:pPr>
        <w:keepNext/>
        <w:keepLines/>
      </w:pPr>
    </w:p>
    <w:p w:rsidR="00DC4174" w:rsidRDefault="00DC4174" w:rsidP="00DC4174">
      <w:pPr>
        <w:keepNext/>
        <w:keepLines/>
      </w:pPr>
    </w:p>
    <w:p w:rsidR="00DC4174" w:rsidRDefault="00DC4174" w:rsidP="001609CC">
      <w:pPr>
        <w:keepNext/>
        <w:keepLines/>
        <w:jc w:val="center"/>
      </w:pPr>
    </w:p>
    <w:p w:rsidR="001609CC" w:rsidRDefault="001609CC" w:rsidP="001609CC">
      <w:pPr>
        <w:keepNext/>
        <w:keepLines/>
        <w:jc w:val="center"/>
      </w:pPr>
    </w:p>
    <w:p w:rsidR="001609CC" w:rsidRDefault="001609CC" w:rsidP="001609CC">
      <w:pPr>
        <w:keepNext/>
        <w:keepLines/>
        <w:jc w:val="center"/>
      </w:pPr>
    </w:p>
    <w:p w:rsidR="001609CC" w:rsidRDefault="001609CC" w:rsidP="001609CC">
      <w:pPr>
        <w:keepNext/>
        <w:keepLines/>
        <w:jc w:val="center"/>
      </w:pPr>
    </w:p>
    <w:p w:rsidR="001609CC" w:rsidRPr="00EC52A2" w:rsidRDefault="001609CC" w:rsidP="001609CC">
      <w:pPr>
        <w:keepNext/>
        <w:keepLines/>
        <w:jc w:val="center"/>
      </w:pPr>
    </w:p>
    <w:p w:rsidR="00001158" w:rsidRPr="00EC52A2" w:rsidRDefault="00001158" w:rsidP="001609CC">
      <w:pPr>
        <w:keepNext/>
        <w:keepLines/>
        <w:jc w:val="center"/>
      </w:pPr>
    </w:p>
    <w:p w:rsidR="00001158" w:rsidRPr="00EC52A2" w:rsidRDefault="00001158" w:rsidP="001609CC">
      <w:pPr>
        <w:keepNext/>
        <w:keepLines/>
        <w:jc w:val="center"/>
      </w:pPr>
    </w:p>
    <w:p w:rsidR="00001158" w:rsidRPr="00EC52A2" w:rsidRDefault="00001158" w:rsidP="001609CC">
      <w:pPr>
        <w:keepNext/>
        <w:keepLines/>
        <w:jc w:val="center"/>
      </w:pPr>
    </w:p>
    <w:p w:rsidR="00001158" w:rsidRPr="00EC52A2" w:rsidRDefault="00001158" w:rsidP="001609CC">
      <w:pPr>
        <w:keepNext/>
        <w:keepLines/>
        <w:jc w:val="center"/>
      </w:pPr>
    </w:p>
    <w:p w:rsidR="00001158" w:rsidRPr="00EC52A2" w:rsidRDefault="00001158" w:rsidP="001609CC">
      <w:pPr>
        <w:keepNext/>
        <w:keepLines/>
        <w:jc w:val="center"/>
      </w:pPr>
    </w:p>
    <w:p w:rsidR="00001158" w:rsidRPr="00EC52A2" w:rsidRDefault="00001158" w:rsidP="001609CC">
      <w:pPr>
        <w:keepNext/>
        <w:keepLines/>
        <w:jc w:val="center"/>
      </w:pPr>
    </w:p>
    <w:p w:rsidR="00001158" w:rsidRPr="00EC52A2" w:rsidRDefault="00001158" w:rsidP="001609CC">
      <w:pPr>
        <w:keepNext/>
        <w:keepLines/>
        <w:jc w:val="center"/>
      </w:pPr>
    </w:p>
    <w:p w:rsidR="00001158" w:rsidRPr="00EC52A2" w:rsidRDefault="00001158" w:rsidP="001609CC">
      <w:pPr>
        <w:keepNext/>
        <w:keepLines/>
        <w:jc w:val="center"/>
      </w:pPr>
    </w:p>
    <w:p w:rsidR="001609CC" w:rsidRDefault="001609CC" w:rsidP="001609CC">
      <w:pPr>
        <w:keepNext/>
        <w:keepLines/>
        <w:jc w:val="center"/>
      </w:pPr>
    </w:p>
    <w:p w:rsidR="001609CC" w:rsidRPr="001609CC" w:rsidRDefault="001609CC" w:rsidP="001609CC">
      <w:pPr>
        <w:keepNext/>
        <w:keepLines/>
        <w:jc w:val="center"/>
      </w:pPr>
    </w:p>
    <w:p w:rsidR="00DC4174" w:rsidRPr="001609CC" w:rsidRDefault="00DC4174" w:rsidP="001609CC">
      <w:pPr>
        <w:keepNext/>
        <w:keepLines/>
        <w:jc w:val="center"/>
      </w:pPr>
      <w:r w:rsidRPr="001609CC">
        <w:t>Шымкент, 201</w:t>
      </w:r>
      <w:r w:rsidR="00FA5B0A">
        <w:t>7</w:t>
      </w:r>
      <w:r w:rsidRPr="001609CC">
        <w:t xml:space="preserve"> год</w:t>
      </w:r>
    </w:p>
    <w:p w:rsidR="001609CC" w:rsidRDefault="001609C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5B2B30" w:rsidRPr="001609CC" w:rsidRDefault="00A058C9" w:rsidP="001609CC">
      <w:pPr>
        <w:pStyle w:val="a8"/>
        <w:keepNext/>
        <w:keepLines/>
        <w:rPr>
          <w:rFonts w:ascii="Times New Roman" w:hAnsi="Times New Roman"/>
          <w:b/>
        </w:rPr>
      </w:pPr>
      <w:r w:rsidRPr="001609CC">
        <w:rPr>
          <w:rFonts w:ascii="Times New Roman" w:hAnsi="Times New Roman"/>
          <w:b/>
        </w:rPr>
        <w:lastRenderedPageBreak/>
        <w:t xml:space="preserve">       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675"/>
        <w:gridCol w:w="2268"/>
        <w:gridCol w:w="6804"/>
      </w:tblGrid>
      <w:tr w:rsidR="00EE50C0" w:rsidRPr="001609CC" w:rsidTr="001609CC">
        <w:trPr>
          <w:trHeight w:val="1135"/>
        </w:trPr>
        <w:tc>
          <w:tcPr>
            <w:tcW w:w="675" w:type="dxa"/>
            <w:vAlign w:val="center"/>
          </w:tcPr>
          <w:p w:rsidR="00EE50C0" w:rsidRPr="001609CC" w:rsidRDefault="00EE50C0" w:rsidP="001609CC">
            <w:pPr>
              <w:pStyle w:val="Style3"/>
              <w:keepNext/>
              <w:keepLines/>
              <w:widowControl/>
              <w:spacing w:line="240" w:lineRule="auto"/>
              <w:ind w:left="5" w:hanging="5"/>
              <w:jc w:val="center"/>
              <w:rPr>
                <w:rStyle w:val="FontStyle15"/>
                <w:sz w:val="24"/>
                <w:szCs w:val="24"/>
              </w:rPr>
            </w:pPr>
            <w:r w:rsidRPr="001609CC">
              <w:rPr>
                <w:rStyle w:val="FontStyle15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E50C0" w:rsidRPr="001609CC" w:rsidRDefault="00EE50C0" w:rsidP="001609CC">
            <w:pPr>
              <w:pStyle w:val="Style3"/>
              <w:keepNext/>
              <w:keepLines/>
              <w:widowControl/>
              <w:spacing w:line="240" w:lineRule="auto"/>
              <w:ind w:left="72"/>
              <w:jc w:val="center"/>
              <w:rPr>
                <w:rStyle w:val="FontStyle15"/>
                <w:sz w:val="24"/>
                <w:szCs w:val="24"/>
              </w:rPr>
            </w:pPr>
            <w:r w:rsidRPr="001609CC">
              <w:rPr>
                <w:rStyle w:val="FontStyle15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804" w:type="dxa"/>
            <w:vAlign w:val="center"/>
          </w:tcPr>
          <w:p w:rsidR="00EE50C0" w:rsidRPr="001609CC" w:rsidRDefault="00EE50C0" w:rsidP="001609CC">
            <w:pPr>
              <w:pStyle w:val="Style3"/>
              <w:keepNext/>
              <w:keepLines/>
              <w:widowControl/>
              <w:spacing w:line="240" w:lineRule="auto"/>
              <w:ind w:left="101" w:right="102"/>
              <w:jc w:val="center"/>
              <w:rPr>
                <w:rStyle w:val="FontStyle15"/>
                <w:sz w:val="24"/>
                <w:szCs w:val="24"/>
              </w:rPr>
            </w:pPr>
            <w:r w:rsidRPr="001609CC">
              <w:rPr>
                <w:rStyle w:val="FontStyle15"/>
                <w:sz w:val="24"/>
                <w:szCs w:val="24"/>
              </w:rPr>
              <w:t>Наименование услуг</w:t>
            </w:r>
          </w:p>
        </w:tc>
      </w:tr>
      <w:tr w:rsidR="00EE50C0" w:rsidRPr="001609CC" w:rsidTr="001609CC">
        <w:trPr>
          <w:trHeight w:val="924"/>
        </w:trPr>
        <w:tc>
          <w:tcPr>
            <w:tcW w:w="675" w:type="dxa"/>
          </w:tcPr>
          <w:p w:rsidR="00EE50C0" w:rsidRPr="001609CC" w:rsidRDefault="00EE50C0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609C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E50C0" w:rsidRPr="001609CC" w:rsidRDefault="00EE50C0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609CC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6804" w:type="dxa"/>
          </w:tcPr>
          <w:p w:rsidR="00EE50C0" w:rsidRPr="001609CC" w:rsidRDefault="00EE50C0" w:rsidP="00FA5B0A">
            <w:pPr>
              <w:keepNext/>
              <w:keepLines/>
              <w:rPr>
                <w:sz w:val="24"/>
                <w:szCs w:val="24"/>
              </w:rPr>
            </w:pPr>
            <w:r w:rsidRPr="001609CC">
              <w:rPr>
                <w:sz w:val="24"/>
                <w:szCs w:val="24"/>
              </w:rPr>
              <w:t xml:space="preserve">Составление проекта «План развития горных работ </w:t>
            </w:r>
            <w:r w:rsidR="00821A1B">
              <w:rPr>
                <w:sz w:val="24"/>
                <w:szCs w:val="24"/>
              </w:rPr>
              <w:t>на</w:t>
            </w:r>
            <w:r w:rsidR="00821A1B" w:rsidRPr="00821A1B">
              <w:rPr>
                <w:sz w:val="24"/>
                <w:szCs w:val="24"/>
              </w:rPr>
              <w:t xml:space="preserve"> 201</w:t>
            </w:r>
            <w:r w:rsidR="00FA5B0A">
              <w:rPr>
                <w:sz w:val="24"/>
                <w:szCs w:val="24"/>
              </w:rPr>
              <w:t>8</w:t>
            </w:r>
            <w:r w:rsidR="00821A1B" w:rsidRPr="00821A1B">
              <w:rPr>
                <w:sz w:val="24"/>
                <w:szCs w:val="24"/>
              </w:rPr>
              <w:t xml:space="preserve"> </w:t>
            </w:r>
            <w:r w:rsidR="00821A1B">
              <w:rPr>
                <w:sz w:val="24"/>
                <w:szCs w:val="24"/>
              </w:rPr>
              <w:t xml:space="preserve">год </w:t>
            </w:r>
            <w:r w:rsidRPr="001609CC">
              <w:rPr>
                <w:sz w:val="24"/>
                <w:szCs w:val="24"/>
              </w:rPr>
              <w:t>по участку №</w:t>
            </w:r>
            <w:r w:rsidR="00FE0F25" w:rsidRPr="00FE0F25">
              <w:rPr>
                <w:sz w:val="24"/>
                <w:szCs w:val="24"/>
              </w:rPr>
              <w:t>4</w:t>
            </w:r>
            <w:r w:rsidRPr="001609CC">
              <w:rPr>
                <w:sz w:val="24"/>
                <w:szCs w:val="24"/>
              </w:rPr>
              <w:t xml:space="preserve"> месторождения Буденновское», и его согласование в компетентных органах</w:t>
            </w:r>
          </w:p>
        </w:tc>
      </w:tr>
      <w:tr w:rsidR="00EE50C0" w:rsidRPr="001609CC" w:rsidTr="001609CC">
        <w:trPr>
          <w:trHeight w:val="1032"/>
        </w:trPr>
        <w:tc>
          <w:tcPr>
            <w:tcW w:w="675" w:type="dxa"/>
          </w:tcPr>
          <w:p w:rsidR="00EE50C0" w:rsidRPr="001609CC" w:rsidRDefault="00EE50C0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609C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0C0" w:rsidRPr="001609CC" w:rsidRDefault="006019DB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609CC">
              <w:rPr>
                <w:sz w:val="24"/>
                <w:szCs w:val="24"/>
                <w:lang w:eastAsia="ar-SA"/>
              </w:rPr>
              <w:t>Место реализации работ</w:t>
            </w:r>
          </w:p>
        </w:tc>
        <w:tc>
          <w:tcPr>
            <w:tcW w:w="6804" w:type="dxa"/>
          </w:tcPr>
          <w:p w:rsidR="00EE50C0" w:rsidRPr="001609CC" w:rsidRDefault="006019DB" w:rsidP="00FE0F25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 w:val="24"/>
                <w:szCs w:val="24"/>
              </w:rPr>
            </w:pPr>
            <w:r w:rsidRPr="001609CC">
              <w:rPr>
                <w:sz w:val="24"/>
                <w:szCs w:val="24"/>
              </w:rPr>
              <w:t>Рудник «</w:t>
            </w:r>
            <w:proofErr w:type="spellStart"/>
            <w:r w:rsidR="00001158">
              <w:rPr>
                <w:sz w:val="24"/>
                <w:szCs w:val="24"/>
              </w:rPr>
              <w:t>Куланды</w:t>
            </w:r>
            <w:proofErr w:type="spellEnd"/>
            <w:r w:rsidRPr="001609CC">
              <w:rPr>
                <w:sz w:val="24"/>
                <w:szCs w:val="24"/>
              </w:rPr>
              <w:t>»: геотехнологическое поле участка №</w:t>
            </w:r>
            <w:r w:rsidR="00FE0F25" w:rsidRPr="00FE0F25">
              <w:rPr>
                <w:sz w:val="24"/>
                <w:szCs w:val="24"/>
              </w:rPr>
              <w:t>4</w:t>
            </w:r>
            <w:r w:rsidRPr="001609CC">
              <w:rPr>
                <w:sz w:val="24"/>
                <w:szCs w:val="24"/>
              </w:rPr>
              <w:t xml:space="preserve"> месторождения Буденовское расположенное в </w:t>
            </w:r>
            <w:proofErr w:type="spellStart"/>
            <w:r w:rsidRPr="001609CC">
              <w:rPr>
                <w:sz w:val="24"/>
                <w:szCs w:val="24"/>
              </w:rPr>
              <w:t>Сузакском</w:t>
            </w:r>
            <w:proofErr w:type="spellEnd"/>
            <w:r w:rsidRPr="001609CC">
              <w:rPr>
                <w:sz w:val="24"/>
                <w:szCs w:val="24"/>
              </w:rPr>
              <w:t xml:space="preserve"> районе, ЮКО.</w:t>
            </w:r>
          </w:p>
        </w:tc>
      </w:tr>
      <w:tr w:rsidR="00FA7C92" w:rsidRPr="001609CC" w:rsidTr="00FA7C92">
        <w:trPr>
          <w:trHeight w:val="706"/>
        </w:trPr>
        <w:tc>
          <w:tcPr>
            <w:tcW w:w="675" w:type="dxa"/>
          </w:tcPr>
          <w:p w:rsidR="00FA7C92" w:rsidRPr="001609CC" w:rsidRDefault="00FA7C92" w:rsidP="001609CC">
            <w:pPr>
              <w:keepNext/>
              <w:keepLines/>
              <w:jc w:val="both"/>
            </w:pPr>
            <w:r w:rsidRPr="001609C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A7C92" w:rsidRPr="001609CC" w:rsidRDefault="00FA7C92" w:rsidP="001609CC">
            <w:pPr>
              <w:keepNext/>
              <w:keepLines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выполнения работ</w:t>
            </w:r>
          </w:p>
        </w:tc>
        <w:tc>
          <w:tcPr>
            <w:tcW w:w="6804" w:type="dxa"/>
          </w:tcPr>
          <w:p w:rsidR="00652376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этап - 20 календарных дней, </w:t>
            </w:r>
            <w:proofErr w:type="gramStart"/>
            <w:r>
              <w:rPr>
                <w:szCs w:val="24"/>
              </w:rPr>
              <w:t>с даты подписания</w:t>
            </w:r>
            <w:proofErr w:type="gramEnd"/>
            <w:r>
              <w:rPr>
                <w:szCs w:val="24"/>
              </w:rPr>
              <w:t xml:space="preserve"> договора </w:t>
            </w:r>
          </w:p>
          <w:p w:rsidR="00FA7C92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(разделы:</w:t>
            </w:r>
            <w:proofErr w:type="gramEnd"/>
            <w:r>
              <w:rPr>
                <w:szCs w:val="24"/>
              </w:rPr>
              <w:t xml:space="preserve">  </w:t>
            </w:r>
            <w:proofErr w:type="gramStart"/>
            <w:r>
              <w:rPr>
                <w:szCs w:val="24"/>
              </w:rPr>
              <w:t>ГПР, табличные приложения)</w:t>
            </w:r>
            <w:r w:rsidR="00FA7C92">
              <w:rPr>
                <w:szCs w:val="24"/>
              </w:rPr>
              <w:t>.</w:t>
            </w:r>
            <w:proofErr w:type="gramEnd"/>
          </w:p>
          <w:p w:rsidR="00652376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</w:p>
          <w:p w:rsidR="00652376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 этап – </w:t>
            </w:r>
            <w:r w:rsidR="000274BE">
              <w:rPr>
                <w:szCs w:val="24"/>
              </w:rPr>
              <w:t>4</w:t>
            </w:r>
            <w:r>
              <w:rPr>
                <w:szCs w:val="24"/>
              </w:rPr>
              <w:t xml:space="preserve">0 календарных дней, </w:t>
            </w:r>
            <w:proofErr w:type="gramStart"/>
            <w:r>
              <w:rPr>
                <w:szCs w:val="24"/>
              </w:rPr>
              <w:t>с даты подписания</w:t>
            </w:r>
            <w:proofErr w:type="gramEnd"/>
            <w:r>
              <w:rPr>
                <w:szCs w:val="24"/>
              </w:rPr>
              <w:t xml:space="preserve"> договора</w:t>
            </w:r>
          </w:p>
          <w:p w:rsidR="00652376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  <w:r>
              <w:rPr>
                <w:szCs w:val="24"/>
              </w:rPr>
              <w:t>(разделы: охрана труда, графические материалы).</w:t>
            </w:r>
          </w:p>
          <w:p w:rsidR="00652376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</w:p>
          <w:p w:rsidR="00652376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 этап – </w:t>
            </w:r>
            <w:r w:rsidR="000274BE">
              <w:rPr>
                <w:szCs w:val="24"/>
              </w:rPr>
              <w:t>6</w:t>
            </w:r>
            <w:r>
              <w:rPr>
                <w:szCs w:val="24"/>
              </w:rPr>
              <w:t xml:space="preserve">0 календарных дней, </w:t>
            </w:r>
            <w:proofErr w:type="gramStart"/>
            <w:r>
              <w:rPr>
                <w:szCs w:val="24"/>
              </w:rPr>
              <w:t>с даты подписания</w:t>
            </w:r>
            <w:proofErr w:type="gramEnd"/>
            <w:r>
              <w:rPr>
                <w:szCs w:val="24"/>
              </w:rPr>
              <w:t xml:space="preserve"> договора</w:t>
            </w:r>
          </w:p>
          <w:p w:rsidR="00652376" w:rsidRPr="001609CC" w:rsidRDefault="00652376" w:rsidP="00652376">
            <w:pPr>
              <w:pStyle w:val="Style7"/>
              <w:keepNext/>
              <w:keepLines/>
              <w:widowControl/>
              <w:spacing w:line="240" w:lineRule="auto"/>
              <w:ind w:left="101" w:right="10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(п</w:t>
            </w:r>
            <w:r w:rsidRPr="001609CC">
              <w:rPr>
                <w:rStyle w:val="FontStyle17"/>
                <w:sz w:val="24"/>
                <w:szCs w:val="24"/>
              </w:rPr>
              <w:t>олучение заключения  и согласован</w:t>
            </w:r>
            <w:r>
              <w:rPr>
                <w:rStyle w:val="FontStyle17"/>
                <w:sz w:val="24"/>
                <w:szCs w:val="24"/>
              </w:rPr>
              <w:t>ие ПРГР</w:t>
            </w:r>
            <w:r w:rsidRPr="001609CC">
              <w:rPr>
                <w:rStyle w:val="FontStyle17"/>
                <w:sz w:val="24"/>
                <w:szCs w:val="24"/>
              </w:rPr>
              <w:t xml:space="preserve"> в Комитете индустриального развития и </w:t>
            </w:r>
            <w:r>
              <w:rPr>
                <w:rStyle w:val="FontStyle17"/>
                <w:sz w:val="24"/>
                <w:szCs w:val="24"/>
              </w:rPr>
              <w:t>промышленной безопасности)</w:t>
            </w:r>
            <w:r w:rsidRPr="001609CC">
              <w:rPr>
                <w:rStyle w:val="FontStyle17"/>
                <w:sz w:val="24"/>
                <w:szCs w:val="24"/>
              </w:rPr>
              <w:t>.</w:t>
            </w:r>
          </w:p>
          <w:p w:rsidR="00652376" w:rsidRPr="001609CC" w:rsidRDefault="00652376" w:rsidP="00652376">
            <w:pPr>
              <w:pStyle w:val="Tz11"/>
              <w:keepNext/>
              <w:keepLines/>
              <w:spacing w:before="0" w:after="0"/>
              <w:ind w:firstLine="0"/>
              <w:jc w:val="left"/>
              <w:rPr>
                <w:szCs w:val="24"/>
              </w:rPr>
            </w:pPr>
          </w:p>
        </w:tc>
      </w:tr>
      <w:tr w:rsidR="00EE50C0" w:rsidRPr="001609CC" w:rsidTr="001609CC">
        <w:tc>
          <w:tcPr>
            <w:tcW w:w="675" w:type="dxa"/>
          </w:tcPr>
          <w:p w:rsidR="00EE50C0" w:rsidRPr="001609CC" w:rsidRDefault="00FA7C92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E50C0" w:rsidRPr="001609CC" w:rsidRDefault="006019DB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609CC">
              <w:rPr>
                <w:sz w:val="24"/>
                <w:szCs w:val="24"/>
              </w:rPr>
              <w:t>Состав работ</w:t>
            </w:r>
          </w:p>
        </w:tc>
        <w:tc>
          <w:tcPr>
            <w:tcW w:w="6804" w:type="dxa"/>
          </w:tcPr>
          <w:p w:rsidR="008D49C5" w:rsidRPr="001609CC" w:rsidRDefault="005A4F7A" w:rsidP="005A4F7A">
            <w:pPr>
              <w:keepNext/>
              <w:keepLines/>
              <w:ind w:left="317" w:hanging="317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5A4F7A">
              <w:rPr>
                <w:b/>
                <w:bCs/>
                <w:i/>
                <w:sz w:val="24"/>
                <w:szCs w:val="24"/>
              </w:rPr>
              <w:t xml:space="preserve">. </w:t>
            </w:r>
            <w:r w:rsidR="008D49C5" w:rsidRPr="001609CC">
              <w:rPr>
                <w:b/>
                <w:bCs/>
                <w:i/>
                <w:sz w:val="24"/>
                <w:szCs w:val="24"/>
              </w:rPr>
              <w:t xml:space="preserve">Горно-подготовительные работы и добыча </w:t>
            </w:r>
            <w:r w:rsidR="00652376">
              <w:rPr>
                <w:b/>
                <w:bCs/>
                <w:i/>
                <w:sz w:val="24"/>
                <w:szCs w:val="24"/>
              </w:rPr>
              <w:t>урана</w:t>
            </w:r>
          </w:p>
          <w:p w:rsidR="008D49C5" w:rsidRPr="001609CC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8D49C5" w:rsidRPr="00D30A5E" w:rsidRDefault="00D30A5E" w:rsidP="00D30A5E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D49C5" w:rsidRPr="00D30A5E">
              <w:rPr>
                <w:sz w:val="24"/>
                <w:szCs w:val="24"/>
              </w:rPr>
              <w:t>Сведения о разрешительной и проектной документации на разработку месторождения.</w:t>
            </w:r>
          </w:p>
          <w:p w:rsidR="008D49C5" w:rsidRPr="00D30A5E" w:rsidRDefault="00D30A5E" w:rsidP="00D30A5E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D49C5" w:rsidRPr="00D30A5E">
              <w:rPr>
                <w:sz w:val="24"/>
                <w:szCs w:val="24"/>
              </w:rPr>
              <w:t>Общие сведения о районе работ.</w:t>
            </w:r>
          </w:p>
          <w:p w:rsidR="008D49C5" w:rsidRPr="00D30A5E" w:rsidRDefault="00D30A5E" w:rsidP="00D30A5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D49C5" w:rsidRPr="00D30A5E">
              <w:rPr>
                <w:sz w:val="24"/>
                <w:szCs w:val="24"/>
              </w:rPr>
              <w:t>Краткая геолого-гидрогеологическая характеристика месторождения.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Стратиграфия.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Тектоническое строение.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Гидрогеологическая характеристика.</w:t>
            </w:r>
          </w:p>
          <w:p w:rsidR="00D30A5E" w:rsidRDefault="00D30A5E" w:rsidP="00D30A5E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уранового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оруденения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месторождения по участкам.</w:t>
            </w:r>
          </w:p>
          <w:p w:rsidR="00D30A5E" w:rsidRDefault="00D30A5E" w:rsidP="00D30A5E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попутные компоненты (ППК).</w:t>
            </w:r>
          </w:p>
          <w:p w:rsidR="008D49C5" w:rsidRPr="001609CC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Обеспеченность балансовыми запасами.</w:t>
            </w:r>
          </w:p>
          <w:p w:rsidR="008D49C5" w:rsidRPr="001609CC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Вскрытие продуктивного пласта, подготовка блоков к эксплуатации (общие положения).</w:t>
            </w:r>
          </w:p>
          <w:p w:rsidR="008D49C5" w:rsidRPr="00D30A5E" w:rsidRDefault="00D30A5E" w:rsidP="00D30A5E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8D49C5" w:rsidRPr="00D30A5E">
              <w:rPr>
                <w:sz w:val="24"/>
                <w:szCs w:val="24"/>
              </w:rPr>
              <w:t>Деятельность предприятия в</w:t>
            </w:r>
            <w:r w:rsidRPr="00D30A5E">
              <w:rPr>
                <w:sz w:val="24"/>
                <w:szCs w:val="24"/>
              </w:rPr>
              <w:t xml:space="preserve"> текущем</w:t>
            </w:r>
            <w:r w:rsidR="008D49C5" w:rsidRPr="00D30A5E">
              <w:rPr>
                <w:sz w:val="24"/>
                <w:szCs w:val="24"/>
              </w:rPr>
              <w:t xml:space="preserve"> </w:t>
            </w:r>
            <w:r w:rsidRPr="00D30A5E">
              <w:rPr>
                <w:sz w:val="24"/>
                <w:szCs w:val="24"/>
              </w:rPr>
              <w:t>(</w:t>
            </w:r>
            <w:r w:rsidR="008D49C5" w:rsidRPr="00D30A5E">
              <w:rPr>
                <w:sz w:val="24"/>
                <w:szCs w:val="24"/>
              </w:rPr>
              <w:t>201</w:t>
            </w:r>
            <w:r w:rsidR="00FA5B0A">
              <w:rPr>
                <w:sz w:val="24"/>
                <w:szCs w:val="24"/>
              </w:rPr>
              <w:t>7</w:t>
            </w:r>
            <w:r w:rsidRPr="00D30A5E">
              <w:rPr>
                <w:sz w:val="24"/>
                <w:szCs w:val="24"/>
              </w:rPr>
              <w:t>)</w:t>
            </w:r>
            <w:r w:rsidR="008D49C5" w:rsidRPr="00D30A5E">
              <w:rPr>
                <w:sz w:val="24"/>
                <w:szCs w:val="24"/>
              </w:rPr>
              <w:t xml:space="preserve"> году.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горно-подготовительных работ.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Геофизические исследования в скважинах.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Добыча продуктивных растворов.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Переработка растворов.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Ремонтно-восстановительные работы в скважинах действующих участков.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скважин.</w:t>
            </w:r>
          </w:p>
          <w:p w:rsidR="008D49C5" w:rsidRPr="00D30A5E" w:rsidRDefault="00D30A5E" w:rsidP="00D30A5E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8D49C5" w:rsidRPr="00D30A5E">
              <w:rPr>
                <w:sz w:val="24"/>
                <w:szCs w:val="24"/>
              </w:rPr>
              <w:t>Проектируемые работы на</w:t>
            </w:r>
            <w:r w:rsidRPr="00D30A5E">
              <w:rPr>
                <w:sz w:val="24"/>
                <w:szCs w:val="24"/>
              </w:rPr>
              <w:t xml:space="preserve"> планируемый</w:t>
            </w:r>
            <w:r w:rsidR="008D49C5" w:rsidRPr="00D30A5E">
              <w:rPr>
                <w:sz w:val="24"/>
                <w:szCs w:val="24"/>
              </w:rPr>
              <w:t xml:space="preserve"> 201</w:t>
            </w:r>
            <w:r w:rsidR="00FA5B0A">
              <w:rPr>
                <w:sz w:val="24"/>
                <w:szCs w:val="24"/>
              </w:rPr>
              <w:t>8</w:t>
            </w:r>
            <w:r w:rsidR="008D49C5" w:rsidRPr="00D30A5E">
              <w:rPr>
                <w:sz w:val="24"/>
                <w:szCs w:val="24"/>
              </w:rPr>
              <w:t xml:space="preserve"> год.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Горно-подготовительные работы.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потерь урана при добыче.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Геофизические исследования скважин.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Добыча продуктивных растворов.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Переработка растворов.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Ремонтно-восстановительные работы в скважинах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действующих участков.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расхода и потребное количество реагентов при переработке продуктивных растворов.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Капительное строительство.</w:t>
            </w:r>
          </w:p>
          <w:p w:rsidR="00D30A5E" w:rsidRPr="00D30A5E" w:rsidRDefault="00D30A5E" w:rsidP="00D30A5E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30A5E">
              <w:rPr>
                <w:sz w:val="24"/>
                <w:szCs w:val="24"/>
              </w:rPr>
              <w:t>Краткая характеристика добычного и перерабатывающего комплекса.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выпускаемой продукции.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Материальный баланс перерабатывающей установки.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Энергосбережение рудников.</w:t>
            </w:r>
          </w:p>
          <w:p w:rsidR="008D49C5" w:rsidRPr="00D30A5E" w:rsidRDefault="00D30A5E" w:rsidP="00D30A5E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8D49C5" w:rsidRPr="00D30A5E">
              <w:rPr>
                <w:sz w:val="24"/>
                <w:szCs w:val="24"/>
              </w:rPr>
              <w:t>Охрана недр.</w:t>
            </w:r>
          </w:p>
          <w:p w:rsidR="008D49C5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Соблюдение лицензионно-контрактных условий.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Научно-исследовательские и опытно-конструкторские работы.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удельных норм расходов химических реагентов, материалов и электроэнергии.</w:t>
            </w:r>
          </w:p>
          <w:p w:rsidR="00D30A5E" w:rsidRPr="001609CC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технического совещания филиала по итогам подготовки проекта плана горных работ на год.</w:t>
            </w:r>
          </w:p>
          <w:p w:rsidR="008D49C5" w:rsidRPr="001609CC" w:rsidRDefault="00AE74B0" w:rsidP="001609CC">
            <w:pPr>
              <w:keepNext/>
              <w:keepLines/>
              <w:ind w:left="317" w:hanging="317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10. </w:t>
            </w:r>
            <w:r w:rsidR="008D49C5" w:rsidRPr="001609CC">
              <w:rPr>
                <w:b/>
                <w:bCs/>
                <w:i/>
                <w:sz w:val="24"/>
                <w:szCs w:val="24"/>
              </w:rPr>
              <w:t>Табличные приложения</w:t>
            </w:r>
            <w:r>
              <w:rPr>
                <w:b/>
                <w:bCs/>
                <w:i/>
                <w:sz w:val="24"/>
                <w:szCs w:val="24"/>
              </w:rPr>
              <w:t>, согласованные с ТУ «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Южказнедра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>»</w:t>
            </w:r>
            <w:r w:rsidR="008D49C5" w:rsidRPr="001609CC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713E51" w:rsidRDefault="00713E51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программа добычи урана по руднику …</w:t>
            </w:r>
          </w:p>
          <w:p w:rsidR="00713E51" w:rsidRDefault="00713E51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ГПР по руднику на планируемый год.</w:t>
            </w:r>
          </w:p>
          <w:p w:rsidR="00713E51" w:rsidRDefault="00713E51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бурения скважин по руднику на планируемый год.</w:t>
            </w:r>
          </w:p>
          <w:p w:rsidR="00713E51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вода блоков по руднику на планируемый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добычи урана и растворов по руднику на планируемый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План-график расхода серной кислоты по руднику на планируемый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Ожидаемое движение балансовых запасов урана в недрах на планируемый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Ожидаемое движение вскрытых, подготовленных и готовых к добыче запасов урана в недрах по руднику на планируемый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плановых показателей потерь урана при добыче урана за текущий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рекультивации плодородного слоя по руднику за текущий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выполненных буровых работ, монтажа блоков и отработки залежей по руднику за текущий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объемы выполнения горно-подготовительных и добычных работ по руднику за текущий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план производства работ по руднику за текущий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производства работ по руднику по технологическим блокам на планируемый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применяемых на предприятии (ПСВ) химических реагентов и сильнодействующих ядовитых вещества (СДЯВ), резервуаров и других складских помещений и трубопроводов для хранения и транспортировки СДЯВ.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необходимого количества материалов и оборудования для выполнения плана ГПР в планируемом году.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геотехнологических параметров и размера сетей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вскрытия с использованием компьютерных программ на основе математических моделей.</w:t>
            </w:r>
          </w:p>
          <w:p w:rsidR="005A4F7A" w:rsidRPr="005A4F7A" w:rsidRDefault="005A4F7A" w:rsidP="005A4F7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A4F7A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5A4F7A">
              <w:rPr>
                <w:b/>
                <w:i/>
                <w:sz w:val="24"/>
                <w:szCs w:val="24"/>
              </w:rPr>
              <w:t>.</w:t>
            </w:r>
            <w:r w:rsidRPr="005A4F7A">
              <w:rPr>
                <w:sz w:val="24"/>
                <w:szCs w:val="24"/>
              </w:rPr>
              <w:t xml:space="preserve"> </w:t>
            </w:r>
            <w:r w:rsidRPr="005A4F7A">
              <w:rPr>
                <w:b/>
                <w:bCs/>
                <w:i/>
                <w:sz w:val="24"/>
                <w:szCs w:val="24"/>
              </w:rPr>
              <w:t>Охрана труда</w:t>
            </w:r>
          </w:p>
          <w:p w:rsidR="008D49C5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Охрана труда</w:t>
            </w:r>
            <w:r w:rsidR="005A4F7A">
              <w:rPr>
                <w:rFonts w:ascii="Times New Roman" w:hAnsi="Times New Roman"/>
                <w:sz w:val="24"/>
                <w:szCs w:val="24"/>
              </w:rPr>
              <w:t xml:space="preserve"> и окружающая среда. Радиационная безопасность</w:t>
            </w:r>
            <w:proofErr w:type="gramStart"/>
            <w:r w:rsidR="005A4F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A4F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5A4F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9CC">
              <w:rPr>
                <w:rFonts w:ascii="Times New Roman" w:hAnsi="Times New Roman"/>
                <w:sz w:val="24"/>
                <w:szCs w:val="24"/>
              </w:rPr>
              <w:t xml:space="preserve">ромышленная санитария, с учетом «Методических </w:t>
            </w:r>
            <w:r w:rsidRPr="001609CC">
              <w:rPr>
                <w:rFonts w:ascii="Times New Roman" w:hAnsi="Times New Roman"/>
                <w:sz w:val="24"/>
                <w:szCs w:val="24"/>
                <w:lang w:val="kk-KZ"/>
              </w:rPr>
              <w:t>рекомендации по разработке и согласованию планов развития горных работпредприятий и организаций ведущих разработку урановых местрождений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609CC">
              <w:rPr>
                <w:rFonts w:ascii="Times New Roman" w:hAnsi="Times New Roman"/>
                <w:sz w:val="24"/>
                <w:szCs w:val="24"/>
                <w:lang w:val="kk-KZ"/>
              </w:rPr>
              <w:t>утверждённые приказом Комитета по ГК за ЧС и ПБ МЧС РК за №30 от 27.09.2010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>г.</w:t>
            </w:r>
            <w:r w:rsidR="005A4F7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A4F7A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предприятия.</w:t>
            </w:r>
          </w:p>
          <w:p w:rsidR="005A4F7A" w:rsidRPr="001609CC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МЧС РК по утверждению ПРГР на текущий год.</w:t>
            </w:r>
          </w:p>
          <w:p w:rsidR="008D49C5" w:rsidRPr="001609CC" w:rsidRDefault="005A4F7A" w:rsidP="001609CC">
            <w:pPr>
              <w:keepNext/>
              <w:keepLines/>
              <w:ind w:left="317" w:hanging="317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III</w:t>
            </w:r>
            <w:r w:rsidRPr="005A4F7A">
              <w:rPr>
                <w:b/>
                <w:bCs/>
                <w:i/>
                <w:sz w:val="24"/>
                <w:szCs w:val="24"/>
              </w:rPr>
              <w:t xml:space="preserve">. </w:t>
            </w:r>
            <w:r w:rsidR="008D49C5" w:rsidRPr="001609CC">
              <w:rPr>
                <w:b/>
                <w:bCs/>
                <w:i/>
                <w:sz w:val="24"/>
                <w:szCs w:val="24"/>
              </w:rPr>
              <w:t>Графические материалы:</w:t>
            </w:r>
          </w:p>
          <w:p w:rsidR="008D49C5" w:rsidRPr="001609CC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Условные обозначения</w:t>
            </w:r>
            <w:r w:rsidR="005A4F7A" w:rsidRPr="005A4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F7A">
              <w:rPr>
                <w:rFonts w:ascii="Times New Roman" w:hAnsi="Times New Roman"/>
                <w:sz w:val="24"/>
                <w:szCs w:val="24"/>
              </w:rPr>
              <w:t>к проекту ПРГР по месторождению.</w:t>
            </w:r>
          </w:p>
          <w:p w:rsidR="008D49C5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Обзорный план месторождения</w:t>
            </w:r>
            <w:r w:rsidR="005A4F7A">
              <w:rPr>
                <w:rFonts w:ascii="Times New Roman" w:hAnsi="Times New Roman"/>
                <w:sz w:val="24"/>
                <w:szCs w:val="24"/>
              </w:rPr>
              <w:t xml:space="preserve"> М 1:25000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F7A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поверхности работающих  и проектируемых полигонов по месторождению М 1:10000.</w:t>
            </w:r>
          </w:p>
          <w:p w:rsidR="005A4F7A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Карты рудоносности блоков по месторождению М 1:2000,  1:5000.</w:t>
            </w:r>
          </w:p>
          <w:p w:rsidR="005A4F7A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Геологические разрезы к картам рудоносности по месторождению, вертикальный М 1:2000-500, горизонтальный М 1:2000.</w:t>
            </w:r>
          </w:p>
          <w:p w:rsidR="005A4F7A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вскрытия и трубной обвязки технологических блоков по месторождению М 1:2000.</w:t>
            </w:r>
          </w:p>
          <w:p w:rsidR="005A4F7A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скважин по месторождению</w:t>
            </w:r>
          </w:p>
          <w:p w:rsidR="008D49C5" w:rsidRPr="001609CC" w:rsidRDefault="005A4F7A" w:rsidP="005A4F7A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растекания технологических растворов по месторождениям М</w:t>
            </w:r>
            <w:r w:rsidR="00FA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1:2000.</w:t>
            </w:r>
          </w:p>
          <w:p w:rsidR="008D49C5" w:rsidRPr="001609CC" w:rsidRDefault="00FA7C92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поверхности расположения опасных зон по месторождению М 1:1000, 1:25000.</w:t>
            </w:r>
          </w:p>
          <w:p w:rsidR="00EE50C0" w:rsidRPr="001609CC" w:rsidRDefault="00EE50C0" w:rsidP="001609C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EE50C0" w:rsidRPr="001609CC" w:rsidTr="001609CC">
        <w:tc>
          <w:tcPr>
            <w:tcW w:w="675" w:type="dxa"/>
          </w:tcPr>
          <w:p w:rsidR="00EE50C0" w:rsidRPr="001609CC" w:rsidRDefault="00EE50C0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609C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EE50C0" w:rsidRPr="001609CC" w:rsidRDefault="008D49C5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609CC">
              <w:rPr>
                <w:rStyle w:val="FontStyle17"/>
                <w:sz w:val="24"/>
                <w:szCs w:val="24"/>
              </w:rPr>
              <w:t xml:space="preserve">Согласование </w:t>
            </w:r>
          </w:p>
        </w:tc>
        <w:tc>
          <w:tcPr>
            <w:tcW w:w="6804" w:type="dxa"/>
          </w:tcPr>
          <w:p w:rsidR="008D49C5" w:rsidRPr="001609CC" w:rsidRDefault="008D49C5" w:rsidP="001609CC">
            <w:pPr>
              <w:pStyle w:val="Style7"/>
              <w:keepNext/>
              <w:keepLines/>
              <w:widowControl/>
              <w:spacing w:line="240" w:lineRule="auto"/>
              <w:ind w:left="101" w:right="102"/>
              <w:rPr>
                <w:rStyle w:val="FontStyle17"/>
                <w:sz w:val="24"/>
                <w:szCs w:val="24"/>
              </w:rPr>
            </w:pPr>
            <w:r w:rsidRPr="001609CC">
              <w:rPr>
                <w:rStyle w:val="FontStyle17"/>
                <w:sz w:val="24"/>
                <w:szCs w:val="24"/>
              </w:rPr>
              <w:t>Получение заключения  и согласование ПРГР  в установленном порядке в Комитете индустриального развития и промышленной безопасности МИР РК.</w:t>
            </w:r>
          </w:p>
          <w:p w:rsidR="00EE50C0" w:rsidRPr="001609CC" w:rsidRDefault="00EE50C0" w:rsidP="001609C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1609CC" w:rsidRPr="001609CC" w:rsidTr="001609CC">
        <w:tc>
          <w:tcPr>
            <w:tcW w:w="675" w:type="dxa"/>
          </w:tcPr>
          <w:p w:rsidR="001609CC" w:rsidRPr="001609CC" w:rsidRDefault="00E85214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09CC" w:rsidRPr="001609CC" w:rsidRDefault="001609CC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609CC">
              <w:rPr>
                <w:rStyle w:val="FontStyle17"/>
                <w:sz w:val="24"/>
                <w:szCs w:val="24"/>
              </w:rPr>
              <w:t>Исходные данные,  передаваемые Исполнителю</w:t>
            </w:r>
          </w:p>
        </w:tc>
        <w:tc>
          <w:tcPr>
            <w:tcW w:w="6804" w:type="dxa"/>
          </w:tcPr>
          <w:p w:rsidR="001609CC" w:rsidRPr="001609CC" w:rsidRDefault="001609CC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609CC">
              <w:rPr>
                <w:sz w:val="24"/>
                <w:szCs w:val="24"/>
              </w:rPr>
              <w:t>До начала Работ по Договору Заказчик предоставляет Поставщику следующую исходную документацию и информацию: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Сведения о разрешительной и проектной документации на отработку участка № </w:t>
            </w:r>
            <w:r w:rsidR="00FE0F25" w:rsidRPr="00FE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месторождения Буденновское.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План по добыче урана на участке № </w:t>
            </w:r>
            <w:r w:rsidR="00FE0F25" w:rsidRPr="00FE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 месторождения Буденновское на 201</w:t>
            </w:r>
            <w:r w:rsidR="00FA5B0A">
              <w:rPr>
                <w:rFonts w:ascii="Times New Roman" w:hAnsi="Times New Roman"/>
                <w:sz w:val="24"/>
                <w:szCs w:val="24"/>
              </w:rPr>
              <w:t>8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График проведения работ по капитальному строительству на промышленной площадке рудника ПСВ участка № </w:t>
            </w:r>
            <w:r w:rsidR="00FE0F25" w:rsidRPr="00FE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месторождения Буденновское на 201</w:t>
            </w:r>
            <w:r w:rsidR="00FA5B0A">
              <w:rPr>
                <w:rFonts w:ascii="Times New Roman" w:hAnsi="Times New Roman"/>
                <w:sz w:val="24"/>
                <w:szCs w:val="24"/>
              </w:rPr>
              <w:t>8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Исходную геологическую и геотехнологическую документацию по результатам геологоразведочных работ на участке № </w:t>
            </w:r>
            <w:r w:rsidR="00FE0F25" w:rsidRPr="00FE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месторождения Буденновское.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1609CC">
              <w:rPr>
                <w:rFonts w:ascii="Times New Roman" w:hAnsi="Times New Roman"/>
                <w:sz w:val="24"/>
                <w:szCs w:val="24"/>
              </w:rPr>
              <w:t>замеров радиоактивного загрязнения поверхности полигона скважин</w:t>
            </w:r>
            <w:proofErr w:type="gramEnd"/>
            <w:r w:rsidRPr="001609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Сведения (ожидаемые) о деятельности </w:t>
            </w:r>
            <w:r w:rsidR="001F148F">
              <w:rPr>
                <w:rFonts w:ascii="Times New Roman" w:hAnsi="Times New Roman"/>
                <w:sz w:val="24"/>
                <w:szCs w:val="24"/>
              </w:rPr>
              <w:t>А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>О «</w:t>
            </w:r>
            <w:r w:rsidR="001F148F">
              <w:rPr>
                <w:rFonts w:ascii="Times New Roman" w:hAnsi="Times New Roman"/>
                <w:sz w:val="24"/>
                <w:szCs w:val="24"/>
              </w:rPr>
              <w:t xml:space="preserve"> СП «Акбастау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>» в 201</w:t>
            </w:r>
            <w:r w:rsidR="00FA5B0A">
              <w:rPr>
                <w:rFonts w:ascii="Times New Roman" w:hAnsi="Times New Roman"/>
                <w:sz w:val="24"/>
                <w:szCs w:val="24"/>
              </w:rPr>
              <w:t>8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году в части горно-подготовительных и добычных работ, капитального строительства и др.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Сведения (ожидаемые) о состоянии охраны труда, ТБ, ПС и </w:t>
            </w:r>
            <w:r w:rsidRPr="001609CC">
              <w:rPr>
                <w:rFonts w:ascii="Times New Roman" w:hAnsi="Times New Roman"/>
                <w:sz w:val="24"/>
                <w:szCs w:val="24"/>
              </w:rPr>
              <w:lastRenderedPageBreak/>
              <w:t>РБ в 201</w:t>
            </w:r>
            <w:r w:rsidR="00FA5B0A">
              <w:rPr>
                <w:rFonts w:ascii="Times New Roman" w:hAnsi="Times New Roman"/>
                <w:sz w:val="24"/>
                <w:szCs w:val="24"/>
              </w:rPr>
              <w:t>8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Сведения (ожидаемые) о проведенных в 201</w:t>
            </w:r>
            <w:r w:rsidR="00FA5B0A">
              <w:rPr>
                <w:rFonts w:ascii="Times New Roman" w:hAnsi="Times New Roman"/>
                <w:sz w:val="24"/>
                <w:szCs w:val="24"/>
              </w:rPr>
              <w:t>7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г. надзорными органами проверках и выполнении выданных ими Актов-предписаний.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Сведения о соблюдении лицензионно-контрактных условий (ЛКУ).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Заполненный «Паспорт предприятия» по представленному образцу.</w:t>
            </w:r>
          </w:p>
          <w:p w:rsidR="001609CC" w:rsidRPr="001609CC" w:rsidRDefault="001609CC" w:rsidP="001609C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1609CC" w:rsidRPr="001609CC" w:rsidTr="001609CC">
        <w:tc>
          <w:tcPr>
            <w:tcW w:w="675" w:type="dxa"/>
          </w:tcPr>
          <w:p w:rsidR="001609CC" w:rsidRPr="001609CC" w:rsidRDefault="00E85214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1609CC" w:rsidRPr="001609CC" w:rsidRDefault="001609CC" w:rsidP="001609CC">
            <w:pPr>
              <w:keepNext/>
              <w:keepLines/>
              <w:rPr>
                <w:sz w:val="24"/>
                <w:szCs w:val="24"/>
              </w:rPr>
            </w:pPr>
            <w:r w:rsidRPr="001609CC">
              <w:rPr>
                <w:sz w:val="24"/>
                <w:szCs w:val="24"/>
              </w:rPr>
              <w:t>Требования к Поставщику</w:t>
            </w:r>
          </w:p>
        </w:tc>
        <w:tc>
          <w:tcPr>
            <w:tcW w:w="6804" w:type="dxa"/>
          </w:tcPr>
          <w:p w:rsidR="00887D23" w:rsidRDefault="00887D23" w:rsidP="00887D23">
            <w:pPr>
              <w:pStyle w:val="a3"/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 Поставщика государственной лицензии  на выполнения проектных работ, не ниже 2-й категории.</w:t>
            </w:r>
          </w:p>
          <w:p w:rsidR="002C4713" w:rsidRDefault="002C4713" w:rsidP="00887D23">
            <w:pPr>
              <w:pStyle w:val="a3"/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у Поставщика следующих специалистов (предоставить нотариально заверенные копии дипломов/сертификатов):</w:t>
            </w:r>
          </w:p>
          <w:p w:rsidR="002C4713" w:rsidRDefault="002C4713" w:rsidP="00887D23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left" w:pos="558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Инженер гидрогеолог – 2 человека;</w:t>
            </w:r>
          </w:p>
          <w:p w:rsidR="002C4713" w:rsidRDefault="002C4713" w:rsidP="00887D23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left" w:pos="558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Инженер геофизик – 2 человека;</w:t>
            </w:r>
          </w:p>
          <w:p w:rsidR="002C4713" w:rsidRDefault="002C4713" w:rsidP="00887D23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left" w:pos="558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Инженер геолог – 2 человека;</w:t>
            </w:r>
          </w:p>
          <w:p w:rsidR="002C4713" w:rsidRDefault="002C4713" w:rsidP="00887D23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left" w:pos="558"/>
              </w:tabs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Специалист, сертифицированный в области «Безопасность и охране труда и радиационная защита и безопасность» - 1 человек.</w:t>
            </w:r>
          </w:p>
          <w:p w:rsidR="002C4713" w:rsidRDefault="002C4713" w:rsidP="00887D23">
            <w:pPr>
              <w:pStyle w:val="a3"/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быть выполнены своими силами без привлечения субподряда.</w:t>
            </w:r>
          </w:p>
          <w:p w:rsidR="002C4713" w:rsidRDefault="002C4713" w:rsidP="00887D23">
            <w:pPr>
              <w:pStyle w:val="a3"/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входить в 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ненадёжных потенциальных поставщиков холдинга ФНБ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Самрук-Казына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1609CC" w:rsidRPr="001609CC" w:rsidRDefault="001609CC" w:rsidP="001609C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2A3934" w:rsidRPr="001609CC" w:rsidTr="001609CC">
        <w:tc>
          <w:tcPr>
            <w:tcW w:w="675" w:type="dxa"/>
          </w:tcPr>
          <w:p w:rsidR="002A3934" w:rsidRPr="001609CC" w:rsidRDefault="002A3934" w:rsidP="001609C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3934" w:rsidRPr="001609CC" w:rsidRDefault="002A3934" w:rsidP="00F03A0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609CC">
              <w:rPr>
                <w:sz w:val="24"/>
                <w:szCs w:val="24"/>
              </w:rPr>
              <w:t>Результаты Работ</w:t>
            </w:r>
          </w:p>
        </w:tc>
        <w:tc>
          <w:tcPr>
            <w:tcW w:w="6804" w:type="dxa"/>
          </w:tcPr>
          <w:p w:rsidR="002A3934" w:rsidRPr="001609CC" w:rsidRDefault="002A3934" w:rsidP="00F03A0F">
            <w:pPr>
              <w:pStyle w:val="a3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317" w:hanging="2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Составленный «План развития горных работ» подлежит предварительному рассмотрению Заказчиком. После положительного заключения Заказчика, Поставщик получает экспертизы и согласования в уполномоченных государственных органах. </w:t>
            </w:r>
          </w:p>
          <w:p w:rsidR="002A3934" w:rsidRPr="001609CC" w:rsidRDefault="002A3934" w:rsidP="00F03A0F">
            <w:pPr>
              <w:pStyle w:val="a3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317" w:hanging="2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«План развития горных работ по </w:t>
            </w:r>
            <w:r w:rsidR="00B03998">
              <w:rPr>
                <w:rFonts w:ascii="Times New Roman" w:hAnsi="Times New Roman"/>
                <w:sz w:val="24"/>
                <w:szCs w:val="24"/>
              </w:rPr>
              <w:t>участку №</w:t>
            </w:r>
            <w:r w:rsidR="00FE0F25" w:rsidRPr="00FE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 месторождения Буденновское в </w:t>
            </w:r>
            <w:proofErr w:type="spellStart"/>
            <w:r w:rsidRPr="001609CC">
              <w:rPr>
                <w:rFonts w:ascii="Times New Roman" w:hAnsi="Times New Roman"/>
                <w:sz w:val="24"/>
                <w:szCs w:val="24"/>
              </w:rPr>
              <w:t>Созакском</w:t>
            </w:r>
            <w:proofErr w:type="spellEnd"/>
            <w:r w:rsidRPr="001609CC">
              <w:rPr>
                <w:rFonts w:ascii="Times New Roman" w:hAnsi="Times New Roman"/>
                <w:sz w:val="24"/>
                <w:szCs w:val="24"/>
              </w:rPr>
              <w:t xml:space="preserve"> районе Южно-казахстанской области на 201</w:t>
            </w:r>
            <w:r w:rsidR="00FA5B0A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год», количество экземпляров - 4, прошедший экспертизу и согласованный в уполномоченных органах с получением соответствующих протоколов и заключений.</w:t>
            </w:r>
          </w:p>
          <w:p w:rsidR="002A3934" w:rsidRPr="001609CC" w:rsidRDefault="002A3934" w:rsidP="00F03A0F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E50C0" w:rsidRPr="001609CC" w:rsidRDefault="00EE50C0" w:rsidP="001609CC">
      <w:pPr>
        <w:keepNext/>
        <w:keepLines/>
        <w:jc w:val="both"/>
        <w:rPr>
          <w:b/>
        </w:rPr>
      </w:pPr>
    </w:p>
    <w:p w:rsidR="00EE50C0" w:rsidRPr="001609CC" w:rsidRDefault="00EE50C0" w:rsidP="001609CC">
      <w:pPr>
        <w:keepNext/>
        <w:keepLines/>
        <w:jc w:val="both"/>
        <w:rPr>
          <w:b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sectPr w:rsidR="002A3934" w:rsidSect="00D30A5E">
      <w:footerReference w:type="default" r:id="rId10"/>
      <w:pgSz w:w="11906" w:h="16838"/>
      <w:pgMar w:top="851" w:right="850" w:bottom="284" w:left="156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7A" w:rsidRDefault="005A4F7A">
      <w:r>
        <w:separator/>
      </w:r>
    </w:p>
  </w:endnote>
  <w:endnote w:type="continuationSeparator" w:id="0">
    <w:p w:rsidR="005A4F7A" w:rsidRDefault="005A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7A" w:rsidRDefault="00B0399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5B0A">
      <w:rPr>
        <w:noProof/>
      </w:rPr>
      <w:t>5</w:t>
    </w:r>
    <w:r>
      <w:rPr>
        <w:noProof/>
      </w:rPr>
      <w:fldChar w:fldCharType="end"/>
    </w:r>
  </w:p>
  <w:p w:rsidR="005A4F7A" w:rsidRDefault="005A4F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7A" w:rsidRDefault="005A4F7A">
      <w:r>
        <w:separator/>
      </w:r>
    </w:p>
  </w:footnote>
  <w:footnote w:type="continuationSeparator" w:id="0">
    <w:p w:rsidR="005A4F7A" w:rsidRDefault="005A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61AF"/>
    <w:multiLevelType w:val="hybridMultilevel"/>
    <w:tmpl w:val="A6A69728"/>
    <w:lvl w:ilvl="0" w:tplc="6E7E6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D5D67"/>
    <w:multiLevelType w:val="hybridMultilevel"/>
    <w:tmpl w:val="F4423E3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BBF72C0"/>
    <w:multiLevelType w:val="hybridMultilevel"/>
    <w:tmpl w:val="1078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5304F"/>
    <w:multiLevelType w:val="hybridMultilevel"/>
    <w:tmpl w:val="2C3204E4"/>
    <w:lvl w:ilvl="0" w:tplc="6E7E69D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B4E648E"/>
    <w:multiLevelType w:val="hybridMultilevel"/>
    <w:tmpl w:val="D980C45A"/>
    <w:lvl w:ilvl="0" w:tplc="6E7E6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D5734"/>
    <w:multiLevelType w:val="hybridMultilevel"/>
    <w:tmpl w:val="76F2B1B4"/>
    <w:lvl w:ilvl="0" w:tplc="6E7E6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D3561"/>
    <w:multiLevelType w:val="hybridMultilevel"/>
    <w:tmpl w:val="350C9456"/>
    <w:lvl w:ilvl="0" w:tplc="243C9F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6681A"/>
    <w:multiLevelType w:val="multilevel"/>
    <w:tmpl w:val="165AB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763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>
    <w:nsid w:val="79FD4445"/>
    <w:multiLevelType w:val="hybridMultilevel"/>
    <w:tmpl w:val="B51A5AC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4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284"/>
    <w:rsid w:val="00001158"/>
    <w:rsid w:val="00016F62"/>
    <w:rsid w:val="000274BE"/>
    <w:rsid w:val="00034E96"/>
    <w:rsid w:val="000448B4"/>
    <w:rsid w:val="00130B09"/>
    <w:rsid w:val="00151F0B"/>
    <w:rsid w:val="00156F98"/>
    <w:rsid w:val="001609CC"/>
    <w:rsid w:val="001E1264"/>
    <w:rsid w:val="001F148F"/>
    <w:rsid w:val="00210EB9"/>
    <w:rsid w:val="00223154"/>
    <w:rsid w:val="00240CA5"/>
    <w:rsid w:val="002579B0"/>
    <w:rsid w:val="00274E66"/>
    <w:rsid w:val="002A3934"/>
    <w:rsid w:val="002C2A1A"/>
    <w:rsid w:val="002C4713"/>
    <w:rsid w:val="002C4C86"/>
    <w:rsid w:val="00313C24"/>
    <w:rsid w:val="003206FD"/>
    <w:rsid w:val="003617D6"/>
    <w:rsid w:val="00373C23"/>
    <w:rsid w:val="00390161"/>
    <w:rsid w:val="00393A45"/>
    <w:rsid w:val="003B70AB"/>
    <w:rsid w:val="003D360D"/>
    <w:rsid w:val="0041289D"/>
    <w:rsid w:val="004338E6"/>
    <w:rsid w:val="004679D5"/>
    <w:rsid w:val="00476262"/>
    <w:rsid w:val="00496C02"/>
    <w:rsid w:val="004A7117"/>
    <w:rsid w:val="004C2EBF"/>
    <w:rsid w:val="00526B65"/>
    <w:rsid w:val="005572C7"/>
    <w:rsid w:val="00560ABD"/>
    <w:rsid w:val="00591C59"/>
    <w:rsid w:val="005A4F7A"/>
    <w:rsid w:val="005B2B30"/>
    <w:rsid w:val="006019DB"/>
    <w:rsid w:val="00605394"/>
    <w:rsid w:val="00624178"/>
    <w:rsid w:val="00627A2B"/>
    <w:rsid w:val="00630A75"/>
    <w:rsid w:val="00635284"/>
    <w:rsid w:val="006369FC"/>
    <w:rsid w:val="00652376"/>
    <w:rsid w:val="00674284"/>
    <w:rsid w:val="00680DD9"/>
    <w:rsid w:val="00713E51"/>
    <w:rsid w:val="0074677C"/>
    <w:rsid w:val="00754D7D"/>
    <w:rsid w:val="007748FC"/>
    <w:rsid w:val="007A403B"/>
    <w:rsid w:val="007C0FA8"/>
    <w:rsid w:val="007C52EF"/>
    <w:rsid w:val="00810105"/>
    <w:rsid w:val="00821A1B"/>
    <w:rsid w:val="00836551"/>
    <w:rsid w:val="00887D23"/>
    <w:rsid w:val="008B7B1E"/>
    <w:rsid w:val="008D49C5"/>
    <w:rsid w:val="008D60B3"/>
    <w:rsid w:val="009927FA"/>
    <w:rsid w:val="009A6997"/>
    <w:rsid w:val="009E4559"/>
    <w:rsid w:val="009F1860"/>
    <w:rsid w:val="00A058C9"/>
    <w:rsid w:val="00A10467"/>
    <w:rsid w:val="00A46031"/>
    <w:rsid w:val="00AC5548"/>
    <w:rsid w:val="00AE4629"/>
    <w:rsid w:val="00AE74B0"/>
    <w:rsid w:val="00AF173B"/>
    <w:rsid w:val="00B03998"/>
    <w:rsid w:val="00B549EF"/>
    <w:rsid w:val="00B64FE0"/>
    <w:rsid w:val="00B935F0"/>
    <w:rsid w:val="00B9453F"/>
    <w:rsid w:val="00BB7BF4"/>
    <w:rsid w:val="00BE01F0"/>
    <w:rsid w:val="00C539CD"/>
    <w:rsid w:val="00C625C5"/>
    <w:rsid w:val="00C76CEC"/>
    <w:rsid w:val="00CC1097"/>
    <w:rsid w:val="00CF6890"/>
    <w:rsid w:val="00D0022F"/>
    <w:rsid w:val="00D30A5E"/>
    <w:rsid w:val="00D44CB6"/>
    <w:rsid w:val="00D70FA8"/>
    <w:rsid w:val="00DA7CFC"/>
    <w:rsid w:val="00DC4174"/>
    <w:rsid w:val="00E10DE9"/>
    <w:rsid w:val="00E222ED"/>
    <w:rsid w:val="00E247C5"/>
    <w:rsid w:val="00E53FF9"/>
    <w:rsid w:val="00E760C3"/>
    <w:rsid w:val="00E85214"/>
    <w:rsid w:val="00EA714C"/>
    <w:rsid w:val="00EC52A2"/>
    <w:rsid w:val="00ED1FDE"/>
    <w:rsid w:val="00EE19A7"/>
    <w:rsid w:val="00EE50C0"/>
    <w:rsid w:val="00F34F47"/>
    <w:rsid w:val="00F444B8"/>
    <w:rsid w:val="00F4526F"/>
    <w:rsid w:val="00F46F76"/>
    <w:rsid w:val="00F5264C"/>
    <w:rsid w:val="00FA5B0A"/>
    <w:rsid w:val="00FA7C92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6742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74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742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67428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nhideWhenUsed/>
    <w:rsid w:val="00A058C9"/>
    <w:pPr>
      <w:ind w:right="76"/>
      <w:jc w:val="both"/>
    </w:pPr>
    <w:rPr>
      <w:rFonts w:ascii="Futuris" w:hAnsi="Futuris"/>
      <w:lang w:eastAsia="de-DE"/>
    </w:rPr>
  </w:style>
  <w:style w:type="character" w:customStyle="1" w:styleId="a9">
    <w:name w:val="Основной текст Знак"/>
    <w:basedOn w:val="a0"/>
    <w:link w:val="a8"/>
    <w:rsid w:val="00A058C9"/>
    <w:rPr>
      <w:rFonts w:ascii="Futuris" w:eastAsia="Times New Roman" w:hAnsi="Futuris" w:cs="Times New Roman"/>
      <w:sz w:val="24"/>
      <w:szCs w:val="24"/>
      <w:lang w:eastAsia="de-DE"/>
    </w:rPr>
  </w:style>
  <w:style w:type="paragraph" w:customStyle="1" w:styleId="xl40">
    <w:name w:val="xl40"/>
    <w:basedOn w:val="a"/>
    <w:rsid w:val="00A058C9"/>
    <w:pPr>
      <w:spacing w:before="280" w:after="280"/>
      <w:ind w:firstLine="426"/>
      <w:jc w:val="both"/>
    </w:pPr>
    <w:rPr>
      <w:rFonts w:eastAsia="Arial Unicode MS"/>
      <w:b/>
      <w:bCs/>
      <w:lang w:eastAsia="ar-SA"/>
    </w:rPr>
  </w:style>
  <w:style w:type="character" w:customStyle="1" w:styleId="NoSpacingChar">
    <w:name w:val="No Spacing Char"/>
    <w:link w:val="1"/>
    <w:locked/>
    <w:rsid w:val="00A058C9"/>
    <w:rPr>
      <w:rFonts w:ascii="Times New Roman" w:eastAsia="Times New Roman" w:hAnsi="Times New Roman" w:cs="Times New Roman"/>
      <w:sz w:val="24"/>
      <w:lang w:val="en-US"/>
    </w:rPr>
  </w:style>
  <w:style w:type="paragraph" w:customStyle="1" w:styleId="1">
    <w:name w:val="Без интервала1"/>
    <w:basedOn w:val="a"/>
    <w:link w:val="NoSpacingChar"/>
    <w:rsid w:val="00A058C9"/>
    <w:pPr>
      <w:ind w:firstLine="397"/>
      <w:jc w:val="both"/>
    </w:pPr>
    <w:rPr>
      <w:szCs w:val="22"/>
      <w:lang w:val="en-US" w:eastAsia="en-US"/>
    </w:rPr>
  </w:style>
  <w:style w:type="paragraph" w:customStyle="1" w:styleId="10">
    <w:name w:val="Обычный1"/>
    <w:rsid w:val="00DC41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41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7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E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E50C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5">
    <w:name w:val="Font Style15"/>
    <w:basedOn w:val="a0"/>
    <w:uiPriority w:val="99"/>
    <w:rsid w:val="00EE50C0"/>
    <w:rPr>
      <w:rFonts w:ascii="Times New Roman" w:hAnsi="Times New Roman" w:cs="Times New Roman"/>
      <w:b/>
      <w:bCs/>
      <w:sz w:val="22"/>
      <w:szCs w:val="22"/>
    </w:rPr>
  </w:style>
  <w:style w:type="paragraph" w:customStyle="1" w:styleId="Tz11">
    <w:name w:val="Tz_1_1"/>
    <w:basedOn w:val="a"/>
    <w:rsid w:val="006019DB"/>
    <w:pPr>
      <w:tabs>
        <w:tab w:val="left" w:pos="1021"/>
        <w:tab w:val="left" w:pos="1588"/>
      </w:tabs>
      <w:spacing w:before="60" w:after="60"/>
      <w:ind w:firstLine="567"/>
      <w:jc w:val="both"/>
    </w:pPr>
    <w:rPr>
      <w:szCs w:val="20"/>
      <w:lang w:eastAsia="ar-SA"/>
    </w:rPr>
  </w:style>
  <w:style w:type="character" w:customStyle="1" w:styleId="FontStyle17">
    <w:name w:val="Font Style17"/>
    <w:basedOn w:val="a0"/>
    <w:uiPriority w:val="99"/>
    <w:rsid w:val="008D49C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D49C5"/>
    <w:pPr>
      <w:widowControl w:val="0"/>
      <w:autoSpaceDE w:val="0"/>
      <w:autoSpaceDN w:val="0"/>
      <w:adjustRightInd w:val="0"/>
      <w:spacing w:line="27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6742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67428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link w:val="a7"/>
    <w:uiPriority w:val="1"/>
    <w:qFormat/>
    <w:rsid w:val="006742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67428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nhideWhenUsed/>
    <w:rsid w:val="00A058C9"/>
    <w:pPr>
      <w:ind w:right="76"/>
      <w:jc w:val="both"/>
    </w:pPr>
    <w:rPr>
      <w:rFonts w:ascii="Futuris" w:hAnsi="Futuris"/>
      <w:lang w:val="x-none" w:eastAsia="de-DE"/>
    </w:rPr>
  </w:style>
  <w:style w:type="character" w:customStyle="1" w:styleId="a9">
    <w:name w:val="Основной текст Знак"/>
    <w:basedOn w:val="a0"/>
    <w:link w:val="a8"/>
    <w:rsid w:val="00A058C9"/>
    <w:rPr>
      <w:rFonts w:ascii="Futuris" w:eastAsia="Times New Roman" w:hAnsi="Futuris" w:cs="Times New Roman"/>
      <w:sz w:val="24"/>
      <w:szCs w:val="24"/>
      <w:lang w:val="x-none" w:eastAsia="de-DE"/>
    </w:rPr>
  </w:style>
  <w:style w:type="paragraph" w:customStyle="1" w:styleId="xl40">
    <w:name w:val="xl40"/>
    <w:basedOn w:val="a"/>
    <w:rsid w:val="00A058C9"/>
    <w:pPr>
      <w:spacing w:before="280" w:after="280"/>
      <w:ind w:firstLine="426"/>
      <w:jc w:val="both"/>
    </w:pPr>
    <w:rPr>
      <w:rFonts w:eastAsia="Arial Unicode MS"/>
      <w:b/>
      <w:bCs/>
      <w:lang w:eastAsia="ar-SA"/>
    </w:rPr>
  </w:style>
  <w:style w:type="character" w:customStyle="1" w:styleId="NoSpacingChar">
    <w:name w:val="No Spacing Char"/>
    <w:link w:val="1"/>
    <w:locked/>
    <w:rsid w:val="00A058C9"/>
    <w:rPr>
      <w:rFonts w:ascii="Times New Roman" w:eastAsia="Times New Roman" w:hAnsi="Times New Roman" w:cs="Times New Roman"/>
      <w:sz w:val="24"/>
      <w:lang w:val="en-US"/>
    </w:rPr>
  </w:style>
  <w:style w:type="paragraph" w:customStyle="1" w:styleId="1">
    <w:name w:val="Без интервала1"/>
    <w:basedOn w:val="a"/>
    <w:link w:val="NoSpacingChar"/>
    <w:rsid w:val="00A058C9"/>
    <w:pPr>
      <w:ind w:firstLine="397"/>
      <w:jc w:val="both"/>
    </w:pPr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29839-1E9B-4E5E-92BF-8F1F13FB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Молдабекова Сания</dc:creator>
  <cp:lastModifiedBy>Нуралиев Галым Омарович</cp:lastModifiedBy>
  <cp:revision>25</cp:revision>
  <cp:lastPrinted>2016-06-30T03:32:00Z</cp:lastPrinted>
  <dcterms:created xsi:type="dcterms:W3CDTF">2016-06-20T01:46:00Z</dcterms:created>
  <dcterms:modified xsi:type="dcterms:W3CDTF">2017-06-08T04:53:00Z</dcterms:modified>
</cp:coreProperties>
</file>